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87CA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F4055D">
        <w:rPr>
          <w:rFonts w:ascii="Times New Roman" w:hAnsi="Times New Roman"/>
          <w:b/>
          <w:color w:val="000000"/>
          <w:sz w:val="20"/>
          <w:szCs w:val="20"/>
        </w:rPr>
        <w:t>Устройство систем вентиляции и дымоудаления в помещениях,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87CA1">
        <w:rPr>
          <w:rFonts w:ascii="Times New Roman" w:hAnsi="Times New Roman"/>
          <w:color w:val="000000"/>
          <w:lang w:eastAsia="en-US"/>
        </w:rPr>
        <w:t>12.05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87CA1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766A">
        <w:rPr>
          <w:rFonts w:ascii="Times New Roman" w:hAnsi="Times New Roman"/>
          <w:color w:val="000000"/>
          <w:lang w:eastAsia="en-US"/>
        </w:rPr>
        <w:t>05.2023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7CA1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FC274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F682-F38B-4977-A7BA-77BF7CF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2022-11-23T09:43:00Z</dcterms:created>
  <dcterms:modified xsi:type="dcterms:W3CDTF">2023-05-15T05:12:00Z</dcterms:modified>
</cp:coreProperties>
</file>